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4E4E" w14:textId="77777777" w:rsidR="008950E5" w:rsidRDefault="008950E5" w:rsidP="008950E5">
      <w:pPr>
        <w:rPr>
          <w:b/>
          <w:sz w:val="28"/>
          <w:szCs w:val="28"/>
        </w:rPr>
      </w:pPr>
      <w:r w:rsidRPr="00CD72FA">
        <w:rPr>
          <w:b/>
          <w:sz w:val="28"/>
          <w:szCs w:val="28"/>
        </w:rPr>
        <w:t>Food Bank of the Southern Tier</w:t>
      </w:r>
    </w:p>
    <w:p w14:paraId="1610325A" w14:textId="46C47BDF" w:rsidR="008950E5" w:rsidRPr="001F6DE2" w:rsidRDefault="008D1637" w:rsidP="008950E5">
      <w:pPr>
        <w:rPr>
          <w:b/>
        </w:rPr>
      </w:pPr>
      <w:r>
        <w:rPr>
          <w:b/>
        </w:rPr>
        <w:t>CEO Report</w:t>
      </w:r>
      <w:r w:rsidR="008D55AE">
        <w:rPr>
          <w:b/>
        </w:rPr>
        <w:t xml:space="preserve"> </w:t>
      </w:r>
      <w:r w:rsidR="00883417">
        <w:rPr>
          <w:b/>
        </w:rPr>
        <w:t xml:space="preserve">- </w:t>
      </w:r>
      <w:r w:rsidR="00D45F41">
        <w:rPr>
          <w:b/>
        </w:rPr>
        <w:t>February 20</w:t>
      </w:r>
      <w:r w:rsidR="00333B5E">
        <w:rPr>
          <w:b/>
        </w:rPr>
        <w:t>2</w:t>
      </w:r>
      <w:r w:rsidR="00E80322">
        <w:rPr>
          <w:b/>
        </w:rPr>
        <w:t>2</w:t>
      </w:r>
    </w:p>
    <w:p w14:paraId="0668572E" w14:textId="77777777" w:rsidR="008A5407" w:rsidRDefault="007946CD"/>
    <w:p w14:paraId="6BE520D4" w14:textId="47778061" w:rsidR="00CD06BF" w:rsidRPr="007946CD" w:rsidRDefault="00376815" w:rsidP="005F2D2C">
      <w:pPr>
        <w:pStyle w:val="NoSpacing"/>
        <w:rPr>
          <w:rFonts w:ascii="Times New Roman" w:hAnsi="Times New Roman" w:cs="Times New Roman"/>
          <w:b/>
          <w:u w:val="single"/>
        </w:rPr>
      </w:pPr>
      <w:r w:rsidRPr="007946CD">
        <w:rPr>
          <w:rFonts w:ascii="Times New Roman" w:hAnsi="Times New Roman" w:cs="Times New Roman"/>
          <w:b/>
          <w:u w:val="single"/>
        </w:rPr>
        <w:t>DEI</w:t>
      </w:r>
      <w:r w:rsidR="00E80322" w:rsidRPr="007946CD">
        <w:rPr>
          <w:rFonts w:ascii="Times New Roman" w:hAnsi="Times New Roman" w:cs="Times New Roman"/>
          <w:b/>
          <w:u w:val="single"/>
        </w:rPr>
        <w:t xml:space="preserve"> Phase 2 Work</w:t>
      </w:r>
    </w:p>
    <w:p w14:paraId="7152BB01" w14:textId="7BCE2C04" w:rsidR="00376815" w:rsidRPr="007946CD" w:rsidRDefault="00376815" w:rsidP="005F2D2C">
      <w:pPr>
        <w:pStyle w:val="NoSpacing"/>
        <w:rPr>
          <w:rFonts w:ascii="Times New Roman" w:hAnsi="Times New Roman" w:cs="Times New Roman"/>
          <w:bCs/>
        </w:rPr>
      </w:pPr>
      <w:r w:rsidRPr="007946CD">
        <w:rPr>
          <w:rFonts w:ascii="Times New Roman" w:hAnsi="Times New Roman" w:cs="Times New Roman"/>
          <w:bCs/>
        </w:rPr>
        <w:t>We have retained Batiste Leadership to continue working with us on Phase 2 of our DEI efforts. Building upon the progress made in 2021, we have identified six overarching workstreams in Phase 2:</w:t>
      </w:r>
    </w:p>
    <w:p w14:paraId="2F7B944F" w14:textId="77777777" w:rsidR="00A63DCE" w:rsidRPr="007946CD" w:rsidRDefault="00A63DCE" w:rsidP="005F2D2C">
      <w:pPr>
        <w:pStyle w:val="NoSpacing"/>
        <w:rPr>
          <w:rFonts w:ascii="Times New Roman" w:hAnsi="Times New Roman" w:cs="Times New Roman"/>
          <w:bCs/>
        </w:rPr>
      </w:pPr>
    </w:p>
    <w:p w14:paraId="42C41EA2" w14:textId="77777777" w:rsidR="00251143" w:rsidRPr="007946CD" w:rsidRDefault="00376815" w:rsidP="00251143">
      <w:pPr>
        <w:pStyle w:val="NoSpacing"/>
        <w:numPr>
          <w:ilvl w:val="0"/>
          <w:numId w:val="11"/>
        </w:numPr>
        <w:rPr>
          <w:rFonts w:ascii="Times New Roman" w:hAnsi="Times New Roman" w:cs="Times New Roman"/>
          <w:bCs/>
        </w:rPr>
      </w:pPr>
      <w:r w:rsidRPr="007946CD">
        <w:rPr>
          <w:rFonts w:ascii="Times New Roman" w:hAnsi="Times New Roman" w:cs="Times New Roman"/>
          <w:bCs/>
        </w:rPr>
        <w:t>Inculcate Cul</w:t>
      </w:r>
      <w:r w:rsidR="00251143" w:rsidRPr="007946CD">
        <w:rPr>
          <w:rFonts w:ascii="Times New Roman" w:hAnsi="Times New Roman" w:cs="Times New Roman"/>
          <w:bCs/>
        </w:rPr>
        <w:t>ture</w:t>
      </w:r>
    </w:p>
    <w:p w14:paraId="79462AE8" w14:textId="77777777" w:rsidR="00251143" w:rsidRPr="007946CD" w:rsidRDefault="00251143" w:rsidP="00251143">
      <w:pPr>
        <w:pStyle w:val="NoSpacing"/>
        <w:numPr>
          <w:ilvl w:val="0"/>
          <w:numId w:val="11"/>
        </w:numPr>
        <w:rPr>
          <w:rFonts w:ascii="Times New Roman" w:hAnsi="Times New Roman" w:cs="Times New Roman"/>
          <w:bCs/>
        </w:rPr>
      </w:pPr>
      <w:r w:rsidRPr="007946CD">
        <w:rPr>
          <w:rFonts w:ascii="Times New Roman" w:hAnsi="Times New Roman" w:cs="Times New Roman"/>
          <w:bCs/>
        </w:rPr>
        <w:t>Equity Lens roll-out</w:t>
      </w:r>
    </w:p>
    <w:p w14:paraId="58F02572" w14:textId="77777777" w:rsidR="00251143" w:rsidRPr="007946CD" w:rsidRDefault="00251143" w:rsidP="00251143">
      <w:pPr>
        <w:pStyle w:val="NoSpacing"/>
        <w:numPr>
          <w:ilvl w:val="0"/>
          <w:numId w:val="11"/>
        </w:numPr>
        <w:rPr>
          <w:rFonts w:ascii="Times New Roman" w:hAnsi="Times New Roman" w:cs="Times New Roman"/>
          <w:bCs/>
        </w:rPr>
      </w:pPr>
      <w:r w:rsidRPr="007946CD">
        <w:rPr>
          <w:rFonts w:ascii="Times New Roman" w:hAnsi="Times New Roman" w:cs="Times New Roman"/>
          <w:bCs/>
        </w:rPr>
        <w:t>DEI systems assessment</w:t>
      </w:r>
    </w:p>
    <w:p w14:paraId="1F3E2E6C" w14:textId="77777777" w:rsidR="00251143" w:rsidRPr="007946CD" w:rsidRDefault="00251143" w:rsidP="00251143">
      <w:pPr>
        <w:pStyle w:val="NoSpacing"/>
        <w:numPr>
          <w:ilvl w:val="0"/>
          <w:numId w:val="11"/>
        </w:numPr>
        <w:rPr>
          <w:rFonts w:ascii="Times New Roman" w:hAnsi="Times New Roman" w:cs="Times New Roman"/>
          <w:bCs/>
        </w:rPr>
      </w:pPr>
      <w:r w:rsidRPr="007946CD">
        <w:rPr>
          <w:rFonts w:ascii="Times New Roman" w:hAnsi="Times New Roman" w:cs="Times New Roman"/>
          <w:bCs/>
        </w:rPr>
        <w:t>Elevate and build leadership competencies</w:t>
      </w:r>
    </w:p>
    <w:p w14:paraId="62503B5F" w14:textId="77777777" w:rsidR="00251143" w:rsidRPr="007946CD" w:rsidRDefault="00251143" w:rsidP="00251143">
      <w:pPr>
        <w:pStyle w:val="NoSpacing"/>
        <w:numPr>
          <w:ilvl w:val="0"/>
          <w:numId w:val="11"/>
        </w:numPr>
        <w:rPr>
          <w:rFonts w:ascii="Times New Roman" w:hAnsi="Times New Roman" w:cs="Times New Roman"/>
          <w:bCs/>
        </w:rPr>
      </w:pPr>
      <w:r w:rsidRPr="007946CD">
        <w:rPr>
          <w:rFonts w:ascii="Times New Roman" w:hAnsi="Times New Roman" w:cs="Times New Roman"/>
          <w:bCs/>
        </w:rPr>
        <w:t>All-staff retreat</w:t>
      </w:r>
    </w:p>
    <w:p w14:paraId="44A88145" w14:textId="2D7A1582" w:rsidR="00251143" w:rsidRPr="007946CD" w:rsidRDefault="00251143" w:rsidP="00251143">
      <w:pPr>
        <w:pStyle w:val="NoSpacing"/>
        <w:numPr>
          <w:ilvl w:val="0"/>
          <w:numId w:val="11"/>
        </w:numPr>
        <w:rPr>
          <w:rFonts w:ascii="Times New Roman" w:hAnsi="Times New Roman" w:cs="Times New Roman"/>
          <w:bCs/>
        </w:rPr>
      </w:pPr>
      <w:r w:rsidRPr="007946CD">
        <w:rPr>
          <w:rFonts w:ascii="Times New Roman" w:hAnsi="Times New Roman" w:cs="Times New Roman"/>
          <w:bCs/>
        </w:rPr>
        <w:t>Build the business case for DEI and develop long-term goals</w:t>
      </w:r>
    </w:p>
    <w:p w14:paraId="214C00FA" w14:textId="77777777" w:rsidR="00A63DCE" w:rsidRPr="007946CD" w:rsidRDefault="00A63DCE" w:rsidP="00613820">
      <w:pPr>
        <w:pStyle w:val="NoSpacing"/>
        <w:rPr>
          <w:rFonts w:ascii="Times New Roman" w:hAnsi="Times New Roman" w:cs="Times New Roman"/>
          <w:bCs/>
        </w:rPr>
      </w:pPr>
    </w:p>
    <w:p w14:paraId="3F97EE0C" w14:textId="32F5621B" w:rsidR="00613820" w:rsidRPr="007946CD" w:rsidRDefault="008818CE" w:rsidP="00613820">
      <w:pPr>
        <w:pStyle w:val="NoSpacing"/>
        <w:rPr>
          <w:rFonts w:ascii="Times New Roman" w:hAnsi="Times New Roman" w:cs="Times New Roman"/>
          <w:bCs/>
        </w:rPr>
      </w:pPr>
      <w:r w:rsidRPr="007946CD">
        <w:rPr>
          <w:rFonts w:ascii="Times New Roman" w:hAnsi="Times New Roman" w:cs="Times New Roman"/>
          <w:bCs/>
        </w:rPr>
        <w:t xml:space="preserve">We began working on </w:t>
      </w:r>
      <w:r w:rsidRPr="007946CD">
        <w:rPr>
          <w:rFonts w:ascii="Times New Roman" w:hAnsi="Times New Roman" w:cs="Times New Roman"/>
          <w:b/>
        </w:rPr>
        <w:t>Inculcating Culture</w:t>
      </w:r>
      <w:r w:rsidRPr="007946CD">
        <w:rPr>
          <w:rFonts w:ascii="Times New Roman" w:hAnsi="Times New Roman" w:cs="Times New Roman"/>
          <w:bCs/>
        </w:rPr>
        <w:t xml:space="preserve"> </w:t>
      </w:r>
      <w:r w:rsidR="00961F47" w:rsidRPr="007946CD">
        <w:rPr>
          <w:rFonts w:ascii="Times New Roman" w:hAnsi="Times New Roman" w:cs="Times New Roman"/>
          <w:bCs/>
        </w:rPr>
        <w:t xml:space="preserve">in December with an in-person </w:t>
      </w:r>
      <w:r w:rsidR="003137B6" w:rsidRPr="007946CD">
        <w:rPr>
          <w:rFonts w:ascii="Times New Roman" w:hAnsi="Times New Roman" w:cs="Times New Roman"/>
          <w:bCs/>
        </w:rPr>
        <w:t xml:space="preserve">90-minute </w:t>
      </w:r>
      <w:r w:rsidR="00961F47" w:rsidRPr="007946CD">
        <w:rPr>
          <w:rFonts w:ascii="Times New Roman" w:hAnsi="Times New Roman" w:cs="Times New Roman"/>
          <w:bCs/>
        </w:rPr>
        <w:t xml:space="preserve">learning session </w:t>
      </w:r>
      <w:r w:rsidR="00805769" w:rsidRPr="007946CD">
        <w:rPr>
          <w:rFonts w:ascii="Times New Roman" w:hAnsi="Times New Roman" w:cs="Times New Roman"/>
          <w:bCs/>
        </w:rPr>
        <w:t>at the Food Bank led by Jeanette and John Bat</w:t>
      </w:r>
      <w:r w:rsidR="00961F47" w:rsidRPr="007946CD">
        <w:rPr>
          <w:rFonts w:ascii="Times New Roman" w:hAnsi="Times New Roman" w:cs="Times New Roman"/>
          <w:bCs/>
        </w:rPr>
        <w:t>i</w:t>
      </w:r>
      <w:r w:rsidR="00861C09" w:rsidRPr="007946CD">
        <w:rPr>
          <w:rFonts w:ascii="Times New Roman" w:hAnsi="Times New Roman" w:cs="Times New Roman"/>
          <w:bCs/>
        </w:rPr>
        <w:t>ste</w:t>
      </w:r>
      <w:r w:rsidR="00805769" w:rsidRPr="007946CD">
        <w:rPr>
          <w:rFonts w:ascii="Times New Roman" w:hAnsi="Times New Roman" w:cs="Times New Roman"/>
          <w:bCs/>
        </w:rPr>
        <w:t>. Staff were split into three learning cohorts</w:t>
      </w:r>
      <w:r w:rsidR="003137B6" w:rsidRPr="007946CD">
        <w:rPr>
          <w:rFonts w:ascii="Times New Roman" w:hAnsi="Times New Roman" w:cs="Times New Roman"/>
          <w:bCs/>
        </w:rPr>
        <w:t xml:space="preserve"> with representatives from each department to encourage relationship building and cross-functional ideation around the organizational values. Participants reviewed each of the values, defined them and shared examples of individuals/teams living up to those values. For </w:t>
      </w:r>
      <w:r w:rsidR="00A63DCE" w:rsidRPr="007946CD">
        <w:rPr>
          <w:rFonts w:ascii="Times New Roman" w:hAnsi="Times New Roman" w:cs="Times New Roman"/>
          <w:bCs/>
        </w:rPr>
        <w:t xml:space="preserve">Abundance &amp; Inclusion, </w:t>
      </w:r>
      <w:r w:rsidR="003137B6" w:rsidRPr="007946CD">
        <w:rPr>
          <w:rFonts w:ascii="Times New Roman" w:hAnsi="Times New Roman" w:cs="Times New Roman"/>
          <w:bCs/>
        </w:rPr>
        <w:t>the values that we scored lowest on in the employee engagement survey</w:t>
      </w:r>
      <w:r w:rsidR="00A63DCE" w:rsidRPr="007946CD">
        <w:rPr>
          <w:rFonts w:ascii="Times New Roman" w:hAnsi="Times New Roman" w:cs="Times New Roman"/>
          <w:bCs/>
        </w:rPr>
        <w:t>, staff provided suggestions for what we can do as an organization to be more intentional about demonstrating our commitment to those values in our work.</w:t>
      </w:r>
    </w:p>
    <w:p w14:paraId="0AC1839F" w14:textId="3CE32E1F" w:rsidR="00A63DCE" w:rsidRPr="007946CD" w:rsidRDefault="00A63DCE" w:rsidP="00613820">
      <w:pPr>
        <w:pStyle w:val="NoSpacing"/>
        <w:rPr>
          <w:rFonts w:ascii="Times New Roman" w:hAnsi="Times New Roman" w:cs="Times New Roman"/>
          <w:bCs/>
        </w:rPr>
      </w:pPr>
    </w:p>
    <w:p w14:paraId="4FF3C0F3" w14:textId="77777777" w:rsidR="0073324D" w:rsidRPr="007946CD" w:rsidRDefault="008120F8" w:rsidP="00613820">
      <w:pPr>
        <w:pStyle w:val="NoSpacing"/>
        <w:rPr>
          <w:rFonts w:ascii="Times New Roman" w:hAnsi="Times New Roman" w:cs="Times New Roman"/>
          <w:bCs/>
        </w:rPr>
      </w:pPr>
      <w:r w:rsidRPr="007946CD">
        <w:rPr>
          <w:rFonts w:ascii="Times New Roman" w:hAnsi="Times New Roman" w:cs="Times New Roman"/>
          <w:bCs/>
        </w:rPr>
        <w:t>T</w:t>
      </w:r>
      <w:r w:rsidR="00A63DCE" w:rsidRPr="007946CD">
        <w:rPr>
          <w:rFonts w:ascii="Times New Roman" w:hAnsi="Times New Roman" w:cs="Times New Roman"/>
          <w:bCs/>
        </w:rPr>
        <w:t xml:space="preserve">he </w:t>
      </w:r>
      <w:r w:rsidR="00A63DCE" w:rsidRPr="007946CD">
        <w:rPr>
          <w:rFonts w:ascii="Times New Roman" w:hAnsi="Times New Roman" w:cs="Times New Roman"/>
          <w:b/>
        </w:rPr>
        <w:t xml:space="preserve">DEI systems assessment </w:t>
      </w:r>
      <w:r w:rsidRPr="007946CD">
        <w:rPr>
          <w:rFonts w:ascii="Times New Roman" w:hAnsi="Times New Roman" w:cs="Times New Roman"/>
          <w:bCs/>
        </w:rPr>
        <w:t xml:space="preserve">was launched </w:t>
      </w:r>
      <w:r w:rsidR="00A63DCE" w:rsidRPr="007946CD">
        <w:rPr>
          <w:rFonts w:ascii="Times New Roman" w:hAnsi="Times New Roman" w:cs="Times New Roman"/>
          <w:bCs/>
        </w:rPr>
        <w:t>in November</w:t>
      </w:r>
      <w:r w:rsidRPr="007946CD">
        <w:rPr>
          <w:rFonts w:ascii="Times New Roman" w:hAnsi="Times New Roman" w:cs="Times New Roman"/>
          <w:bCs/>
        </w:rPr>
        <w:t xml:space="preserve"> and will be used to identify and eliminate internal barriers to DEI to inform the development of long-term goals. Areas for review include </w:t>
      </w:r>
      <w:r w:rsidR="0073324D" w:rsidRPr="007946CD">
        <w:rPr>
          <w:rFonts w:ascii="Times New Roman" w:hAnsi="Times New Roman" w:cs="Times New Roman"/>
          <w:bCs/>
        </w:rPr>
        <w:t xml:space="preserve">the following: </w:t>
      </w:r>
    </w:p>
    <w:p w14:paraId="2A6B522E" w14:textId="242E343A" w:rsidR="0073324D" w:rsidRPr="007946CD" w:rsidRDefault="0073324D" w:rsidP="0073324D">
      <w:pPr>
        <w:pStyle w:val="NoSpacing"/>
        <w:numPr>
          <w:ilvl w:val="0"/>
          <w:numId w:val="13"/>
        </w:numPr>
        <w:rPr>
          <w:rFonts w:ascii="Times New Roman" w:hAnsi="Times New Roman" w:cs="Times New Roman"/>
          <w:bCs/>
        </w:rPr>
      </w:pPr>
      <w:r w:rsidRPr="007946CD">
        <w:rPr>
          <w:rFonts w:ascii="Times New Roman" w:hAnsi="Times New Roman" w:cs="Times New Roman"/>
          <w:bCs/>
        </w:rPr>
        <w:t>E</w:t>
      </w:r>
      <w:r w:rsidR="008120F8" w:rsidRPr="007946CD">
        <w:rPr>
          <w:rFonts w:ascii="Times New Roman" w:hAnsi="Times New Roman" w:cs="Times New Roman"/>
          <w:bCs/>
        </w:rPr>
        <w:t>mployee recruitment &amp; sourcing</w:t>
      </w:r>
    </w:p>
    <w:p w14:paraId="615A65B7" w14:textId="712D4039" w:rsidR="0073324D" w:rsidRPr="007946CD" w:rsidRDefault="0073324D" w:rsidP="0073324D">
      <w:pPr>
        <w:pStyle w:val="NoSpacing"/>
        <w:numPr>
          <w:ilvl w:val="0"/>
          <w:numId w:val="13"/>
        </w:numPr>
        <w:rPr>
          <w:rFonts w:ascii="Times New Roman" w:hAnsi="Times New Roman" w:cs="Times New Roman"/>
          <w:bCs/>
        </w:rPr>
      </w:pPr>
      <w:r w:rsidRPr="007946CD">
        <w:rPr>
          <w:rFonts w:ascii="Times New Roman" w:hAnsi="Times New Roman" w:cs="Times New Roman"/>
          <w:bCs/>
        </w:rPr>
        <w:t>E</w:t>
      </w:r>
      <w:r w:rsidR="008120F8" w:rsidRPr="007946CD">
        <w:rPr>
          <w:rFonts w:ascii="Times New Roman" w:hAnsi="Times New Roman" w:cs="Times New Roman"/>
          <w:bCs/>
        </w:rPr>
        <w:t>mployee retention, training &amp; development</w:t>
      </w:r>
    </w:p>
    <w:p w14:paraId="7401EC84" w14:textId="29FB3652" w:rsidR="0073324D" w:rsidRPr="007946CD" w:rsidRDefault="0073324D" w:rsidP="0073324D">
      <w:pPr>
        <w:pStyle w:val="NoSpacing"/>
        <w:numPr>
          <w:ilvl w:val="0"/>
          <w:numId w:val="13"/>
        </w:numPr>
        <w:rPr>
          <w:rFonts w:ascii="Times New Roman" w:hAnsi="Times New Roman" w:cs="Times New Roman"/>
          <w:bCs/>
        </w:rPr>
      </w:pPr>
      <w:r w:rsidRPr="007946CD">
        <w:rPr>
          <w:rFonts w:ascii="Times New Roman" w:hAnsi="Times New Roman" w:cs="Times New Roman"/>
          <w:bCs/>
        </w:rPr>
        <w:t>E</w:t>
      </w:r>
      <w:r w:rsidR="008120F8" w:rsidRPr="007946CD">
        <w:rPr>
          <w:rFonts w:ascii="Times New Roman" w:hAnsi="Times New Roman" w:cs="Times New Roman"/>
          <w:bCs/>
        </w:rPr>
        <w:t>mployee onboarding</w:t>
      </w:r>
    </w:p>
    <w:p w14:paraId="2EA99797" w14:textId="6332AA93" w:rsidR="0073324D" w:rsidRPr="007946CD" w:rsidRDefault="0073324D" w:rsidP="0073324D">
      <w:pPr>
        <w:pStyle w:val="NoSpacing"/>
        <w:numPr>
          <w:ilvl w:val="0"/>
          <w:numId w:val="13"/>
        </w:numPr>
        <w:rPr>
          <w:rFonts w:ascii="Times New Roman" w:hAnsi="Times New Roman" w:cs="Times New Roman"/>
          <w:bCs/>
        </w:rPr>
      </w:pPr>
      <w:r w:rsidRPr="007946CD">
        <w:rPr>
          <w:rFonts w:ascii="Times New Roman" w:hAnsi="Times New Roman" w:cs="Times New Roman"/>
          <w:bCs/>
        </w:rPr>
        <w:t>M</w:t>
      </w:r>
      <w:r w:rsidR="008120F8" w:rsidRPr="007946CD">
        <w:rPr>
          <w:rFonts w:ascii="Times New Roman" w:hAnsi="Times New Roman" w:cs="Times New Roman"/>
          <w:bCs/>
        </w:rPr>
        <w:t>easurement &amp; accountability</w:t>
      </w:r>
    </w:p>
    <w:p w14:paraId="0ABEDD4C" w14:textId="48D260C2" w:rsidR="0073324D" w:rsidRPr="007946CD" w:rsidRDefault="0073324D" w:rsidP="0073324D">
      <w:pPr>
        <w:pStyle w:val="NoSpacing"/>
        <w:numPr>
          <w:ilvl w:val="0"/>
          <w:numId w:val="13"/>
        </w:numPr>
        <w:rPr>
          <w:rFonts w:ascii="Times New Roman" w:hAnsi="Times New Roman" w:cs="Times New Roman"/>
          <w:bCs/>
        </w:rPr>
      </w:pPr>
      <w:r w:rsidRPr="007946CD">
        <w:rPr>
          <w:rFonts w:ascii="Times New Roman" w:hAnsi="Times New Roman" w:cs="Times New Roman"/>
          <w:bCs/>
        </w:rPr>
        <w:t>C</w:t>
      </w:r>
      <w:r w:rsidR="008120F8" w:rsidRPr="007946CD">
        <w:rPr>
          <w:rFonts w:ascii="Times New Roman" w:hAnsi="Times New Roman" w:cs="Times New Roman"/>
          <w:bCs/>
        </w:rPr>
        <w:t>ommunication</w:t>
      </w:r>
    </w:p>
    <w:p w14:paraId="72DA9C3B" w14:textId="50F30AE4" w:rsidR="0073324D" w:rsidRPr="007946CD" w:rsidRDefault="0073324D" w:rsidP="0073324D">
      <w:pPr>
        <w:pStyle w:val="NoSpacing"/>
        <w:numPr>
          <w:ilvl w:val="0"/>
          <w:numId w:val="13"/>
        </w:numPr>
        <w:rPr>
          <w:rFonts w:ascii="Times New Roman" w:hAnsi="Times New Roman" w:cs="Times New Roman"/>
          <w:bCs/>
        </w:rPr>
      </w:pPr>
      <w:r w:rsidRPr="007946CD">
        <w:rPr>
          <w:rFonts w:ascii="Times New Roman" w:hAnsi="Times New Roman" w:cs="Times New Roman"/>
          <w:bCs/>
        </w:rPr>
        <w:t>M</w:t>
      </w:r>
      <w:r w:rsidR="008120F8" w:rsidRPr="007946CD">
        <w:rPr>
          <w:rFonts w:ascii="Times New Roman" w:hAnsi="Times New Roman" w:cs="Times New Roman"/>
          <w:bCs/>
        </w:rPr>
        <w:t>arketing, advertising &amp; branding</w:t>
      </w:r>
    </w:p>
    <w:p w14:paraId="3549D6E7" w14:textId="77777777" w:rsidR="0073324D" w:rsidRPr="007946CD" w:rsidRDefault="0073324D" w:rsidP="0073324D">
      <w:pPr>
        <w:pStyle w:val="NoSpacing"/>
        <w:numPr>
          <w:ilvl w:val="0"/>
          <w:numId w:val="13"/>
        </w:numPr>
        <w:rPr>
          <w:rFonts w:ascii="Times New Roman" w:hAnsi="Times New Roman" w:cs="Times New Roman"/>
          <w:bCs/>
        </w:rPr>
      </w:pPr>
      <w:r w:rsidRPr="007946CD">
        <w:rPr>
          <w:rFonts w:ascii="Times New Roman" w:hAnsi="Times New Roman" w:cs="Times New Roman"/>
          <w:bCs/>
        </w:rPr>
        <w:t>Board of Directors</w:t>
      </w:r>
    </w:p>
    <w:p w14:paraId="612B8F8C" w14:textId="77777777" w:rsidR="0073324D" w:rsidRPr="007946CD" w:rsidRDefault="0073324D" w:rsidP="0073324D">
      <w:pPr>
        <w:pStyle w:val="NoSpacing"/>
        <w:numPr>
          <w:ilvl w:val="0"/>
          <w:numId w:val="13"/>
        </w:numPr>
        <w:rPr>
          <w:rFonts w:ascii="Times New Roman" w:hAnsi="Times New Roman" w:cs="Times New Roman"/>
          <w:bCs/>
        </w:rPr>
      </w:pPr>
      <w:r w:rsidRPr="007946CD">
        <w:rPr>
          <w:rFonts w:ascii="Times New Roman" w:hAnsi="Times New Roman" w:cs="Times New Roman"/>
          <w:bCs/>
        </w:rPr>
        <w:t>Supplier/vendor diversity</w:t>
      </w:r>
    </w:p>
    <w:p w14:paraId="4CE76A81" w14:textId="77777777" w:rsidR="0073324D" w:rsidRPr="007946CD" w:rsidRDefault="0073324D" w:rsidP="0073324D">
      <w:pPr>
        <w:pStyle w:val="NoSpacing"/>
        <w:numPr>
          <w:ilvl w:val="0"/>
          <w:numId w:val="13"/>
        </w:numPr>
        <w:rPr>
          <w:rFonts w:ascii="Times New Roman" w:hAnsi="Times New Roman" w:cs="Times New Roman"/>
          <w:bCs/>
        </w:rPr>
      </w:pPr>
      <w:r w:rsidRPr="007946CD">
        <w:rPr>
          <w:rFonts w:ascii="Times New Roman" w:hAnsi="Times New Roman" w:cs="Times New Roman"/>
          <w:bCs/>
        </w:rPr>
        <w:t>Member/partner agency experience</w:t>
      </w:r>
    </w:p>
    <w:p w14:paraId="46474BCA" w14:textId="77777777" w:rsidR="0073324D" w:rsidRPr="007946CD" w:rsidRDefault="0073324D" w:rsidP="0073324D">
      <w:pPr>
        <w:pStyle w:val="NoSpacing"/>
        <w:numPr>
          <w:ilvl w:val="0"/>
          <w:numId w:val="13"/>
        </w:numPr>
        <w:rPr>
          <w:rFonts w:ascii="Times New Roman" w:hAnsi="Times New Roman" w:cs="Times New Roman"/>
          <w:bCs/>
        </w:rPr>
      </w:pPr>
      <w:r w:rsidRPr="007946CD">
        <w:rPr>
          <w:rFonts w:ascii="Times New Roman" w:hAnsi="Times New Roman" w:cs="Times New Roman"/>
          <w:bCs/>
        </w:rPr>
        <w:t>Client experience</w:t>
      </w:r>
    </w:p>
    <w:p w14:paraId="726D406A" w14:textId="357DCC2A" w:rsidR="00A63DCE" w:rsidRPr="007946CD" w:rsidRDefault="0073324D" w:rsidP="0073324D">
      <w:pPr>
        <w:pStyle w:val="NoSpacing"/>
        <w:numPr>
          <w:ilvl w:val="0"/>
          <w:numId w:val="13"/>
        </w:numPr>
        <w:rPr>
          <w:rFonts w:ascii="Times New Roman" w:hAnsi="Times New Roman" w:cs="Times New Roman"/>
          <w:bCs/>
        </w:rPr>
      </w:pPr>
      <w:r w:rsidRPr="007946CD">
        <w:rPr>
          <w:rFonts w:ascii="Times New Roman" w:hAnsi="Times New Roman" w:cs="Times New Roman"/>
          <w:bCs/>
        </w:rPr>
        <w:t xml:space="preserve">Volunteers </w:t>
      </w:r>
      <w:r w:rsidR="008120F8" w:rsidRPr="007946CD">
        <w:rPr>
          <w:rFonts w:ascii="Times New Roman" w:hAnsi="Times New Roman" w:cs="Times New Roman"/>
          <w:bCs/>
        </w:rPr>
        <w:t xml:space="preserve"> </w:t>
      </w:r>
    </w:p>
    <w:p w14:paraId="49A6F22D" w14:textId="360E3D80" w:rsidR="00333B5E" w:rsidRPr="007946CD" w:rsidRDefault="00333B5E" w:rsidP="005F2D2C">
      <w:pPr>
        <w:pStyle w:val="NoSpacing"/>
        <w:rPr>
          <w:rFonts w:ascii="Times New Roman" w:hAnsi="Times New Roman" w:cs="Times New Roman"/>
          <w:bCs/>
        </w:rPr>
      </w:pPr>
    </w:p>
    <w:p w14:paraId="5B5A33F6" w14:textId="118CF47F" w:rsidR="0073324D" w:rsidRPr="007946CD" w:rsidRDefault="0073324D" w:rsidP="005F2D2C">
      <w:pPr>
        <w:pStyle w:val="NoSpacing"/>
        <w:rPr>
          <w:rFonts w:ascii="Times New Roman" w:hAnsi="Times New Roman" w:cs="Times New Roman"/>
          <w:bCs/>
        </w:rPr>
      </w:pPr>
      <w:r w:rsidRPr="007946CD">
        <w:rPr>
          <w:rFonts w:ascii="Times New Roman" w:hAnsi="Times New Roman" w:cs="Times New Roman"/>
          <w:bCs/>
        </w:rPr>
        <w:t>The assessment was comprised of interviews with key stakeholders and conducted by Batiste Leadership in partnership with Horn Consulting. We will be receiving the final report with recommendations in early March and hope to have long-term DEI goals developed by the end of Q2.</w:t>
      </w:r>
    </w:p>
    <w:p w14:paraId="0C2A13F5" w14:textId="77777777" w:rsidR="00E80322" w:rsidRPr="007946CD" w:rsidRDefault="00E80322" w:rsidP="005F2D2C">
      <w:pPr>
        <w:pStyle w:val="NoSpacing"/>
        <w:rPr>
          <w:rFonts w:ascii="Times New Roman" w:hAnsi="Times New Roman" w:cs="Times New Roman"/>
          <w:bCs/>
        </w:rPr>
      </w:pPr>
    </w:p>
    <w:p w14:paraId="4EB9BC65" w14:textId="37EABDAB" w:rsidR="00E80322" w:rsidRPr="007946CD" w:rsidRDefault="00021004" w:rsidP="00333B5E">
      <w:pPr>
        <w:rPr>
          <w:b/>
          <w:bCs/>
          <w:sz w:val="22"/>
          <w:szCs w:val="22"/>
          <w:u w:val="single"/>
        </w:rPr>
      </w:pPr>
      <w:r w:rsidRPr="007946CD">
        <w:rPr>
          <w:b/>
          <w:bCs/>
          <w:sz w:val="22"/>
          <w:szCs w:val="22"/>
          <w:u w:val="single"/>
        </w:rPr>
        <w:t xml:space="preserve">2021 </w:t>
      </w:r>
      <w:r w:rsidR="00E80322" w:rsidRPr="007946CD">
        <w:rPr>
          <w:b/>
          <w:bCs/>
          <w:sz w:val="22"/>
          <w:szCs w:val="22"/>
          <w:u w:val="single"/>
        </w:rPr>
        <w:t xml:space="preserve">Performance Benchmark </w:t>
      </w:r>
      <w:r w:rsidRPr="007946CD">
        <w:rPr>
          <w:b/>
          <w:bCs/>
          <w:sz w:val="22"/>
          <w:szCs w:val="22"/>
          <w:u w:val="single"/>
        </w:rPr>
        <w:t>Dashboards</w:t>
      </w:r>
    </w:p>
    <w:p w14:paraId="34B32BDD" w14:textId="769E600E" w:rsidR="00EB34CD" w:rsidRPr="007946CD" w:rsidRDefault="0073324D" w:rsidP="005F2D2C">
      <w:pPr>
        <w:pStyle w:val="NoSpacing"/>
        <w:rPr>
          <w:rFonts w:ascii="Times New Roman" w:hAnsi="Times New Roman" w:cs="Times New Roman"/>
        </w:rPr>
      </w:pPr>
      <w:r w:rsidRPr="007946CD">
        <w:rPr>
          <w:rFonts w:ascii="Times New Roman" w:hAnsi="Times New Roman" w:cs="Times New Roman"/>
          <w:bCs/>
        </w:rPr>
        <w:t xml:space="preserve">Feeding America provides all food banks with the opportunity to </w:t>
      </w:r>
      <w:r w:rsidR="00021004" w:rsidRPr="007946CD">
        <w:rPr>
          <w:rFonts w:ascii="Times New Roman" w:hAnsi="Times New Roman" w:cs="Times New Roman"/>
          <w:bCs/>
        </w:rPr>
        <w:t>gauge their performance by comparing 12 key metrics against their peers in the network using Tableau. We can select which peers to include in the report.</w:t>
      </w:r>
      <w:r w:rsidR="003A7730" w:rsidRPr="007946CD">
        <w:rPr>
          <w:rFonts w:ascii="Times New Roman" w:hAnsi="Times New Roman" w:cs="Times New Roman"/>
          <w:bCs/>
        </w:rPr>
        <w:t xml:space="preserve"> </w:t>
      </w:r>
      <w:r w:rsidR="00021004" w:rsidRPr="007946CD">
        <w:rPr>
          <w:rFonts w:ascii="Times New Roman" w:hAnsi="Times New Roman" w:cs="Times New Roman"/>
          <w:bCs/>
        </w:rPr>
        <w:t>I have included three reports</w:t>
      </w:r>
      <w:r w:rsidR="003A7730" w:rsidRPr="007946CD">
        <w:rPr>
          <w:rFonts w:ascii="Times New Roman" w:hAnsi="Times New Roman" w:cs="Times New Roman"/>
          <w:bCs/>
        </w:rPr>
        <w:t xml:space="preserve"> as addendums to this document. One compares us to other NYS food banks, one compares us to other food banks in our Environmental Peer Group (EPG,) and the last is our trends in each metric since 2017.</w:t>
      </w:r>
      <w:r w:rsidR="000D5AFB" w:rsidRPr="007946CD">
        <w:rPr>
          <w:rFonts w:ascii="Times New Roman" w:hAnsi="Times New Roman" w:cs="Times New Roman"/>
          <w:bCs/>
        </w:rPr>
        <w:t xml:space="preserve"> I’m pleased to </w:t>
      </w:r>
      <w:r w:rsidR="007946CD" w:rsidRPr="007946CD">
        <w:rPr>
          <w:rFonts w:ascii="Times New Roman" w:hAnsi="Times New Roman" w:cs="Times New Roman"/>
          <w:bCs/>
        </w:rPr>
        <w:t xml:space="preserve">share </w:t>
      </w:r>
      <w:r w:rsidR="000D5AFB" w:rsidRPr="007946CD">
        <w:rPr>
          <w:rFonts w:ascii="Times New Roman" w:hAnsi="Times New Roman" w:cs="Times New Roman"/>
          <w:bCs/>
        </w:rPr>
        <w:t>that we’ve shown consistent improvement in most metrics, especially around Stewarding Resources</w:t>
      </w:r>
      <w:r w:rsidR="001A4C79" w:rsidRPr="007946CD">
        <w:rPr>
          <w:rFonts w:ascii="Times New Roman" w:hAnsi="Times New Roman" w:cs="Times New Roman"/>
          <w:bCs/>
        </w:rPr>
        <w:t>, employee retention,</w:t>
      </w:r>
      <w:r w:rsidR="000D5AFB" w:rsidRPr="007946CD">
        <w:rPr>
          <w:rFonts w:ascii="Times New Roman" w:hAnsi="Times New Roman" w:cs="Times New Roman"/>
          <w:bCs/>
        </w:rPr>
        <w:t xml:space="preserve"> and the number of individual donors per 1,000 population. The decrease in volunteer hours per 1,000 population is attributed to our decision </w:t>
      </w:r>
      <w:r w:rsidR="001A4C79" w:rsidRPr="007946CD">
        <w:rPr>
          <w:rFonts w:ascii="Times New Roman" w:hAnsi="Times New Roman" w:cs="Times New Roman"/>
          <w:bCs/>
        </w:rPr>
        <w:t xml:space="preserve">in 2019 </w:t>
      </w:r>
      <w:r w:rsidR="000D5AFB" w:rsidRPr="007946CD">
        <w:rPr>
          <w:rFonts w:ascii="Times New Roman" w:hAnsi="Times New Roman" w:cs="Times New Roman"/>
          <w:bCs/>
        </w:rPr>
        <w:t xml:space="preserve">to stop tracking Mobile Food Pantry </w:t>
      </w:r>
      <w:r w:rsidR="007946CD" w:rsidRPr="007946CD">
        <w:rPr>
          <w:rFonts w:ascii="Times New Roman" w:hAnsi="Times New Roman" w:cs="Times New Roman"/>
          <w:bCs/>
        </w:rPr>
        <w:t xml:space="preserve">(MFP) </w:t>
      </w:r>
      <w:r w:rsidR="000D5AFB" w:rsidRPr="007946CD">
        <w:rPr>
          <w:rFonts w:ascii="Times New Roman" w:hAnsi="Times New Roman" w:cs="Times New Roman"/>
          <w:bCs/>
        </w:rPr>
        <w:t xml:space="preserve">volunteers in </w:t>
      </w:r>
      <w:proofErr w:type="spellStart"/>
      <w:r w:rsidR="001A4C79" w:rsidRPr="007946CD">
        <w:rPr>
          <w:rFonts w:ascii="Times New Roman" w:hAnsi="Times New Roman" w:cs="Times New Roman"/>
          <w:bCs/>
        </w:rPr>
        <w:t>VolunteerHub</w:t>
      </w:r>
      <w:proofErr w:type="spellEnd"/>
      <w:r w:rsidR="001A4C79" w:rsidRPr="007946CD">
        <w:rPr>
          <w:rFonts w:ascii="Times New Roman" w:hAnsi="Times New Roman" w:cs="Times New Roman"/>
          <w:bCs/>
        </w:rPr>
        <w:t xml:space="preserve">. </w:t>
      </w:r>
      <w:r w:rsidR="007946CD" w:rsidRPr="007946CD">
        <w:rPr>
          <w:rFonts w:ascii="Times New Roman" w:hAnsi="Times New Roman" w:cs="Times New Roman"/>
          <w:bCs/>
        </w:rPr>
        <w:t>Also, the</w:t>
      </w:r>
      <w:r w:rsidR="001A4C79" w:rsidRPr="007946CD">
        <w:rPr>
          <w:rFonts w:ascii="Times New Roman" w:hAnsi="Times New Roman" w:cs="Times New Roman"/>
          <w:bCs/>
        </w:rPr>
        <w:t xml:space="preserve"> Board Engagement index is based </w:t>
      </w:r>
      <w:r w:rsidR="007946CD" w:rsidRPr="007946CD">
        <w:rPr>
          <w:rFonts w:ascii="Times New Roman" w:hAnsi="Times New Roman" w:cs="Times New Roman"/>
          <w:bCs/>
        </w:rPr>
        <w:t>on ten factors, and we were unable to answer “yes” to the following three questions: each BOD member attended at least 75% of BOD meeting, each BOD member made a personal financial contribution to the Food Bank during the past year, and the BOD evaluated its own effectiveness this past year. (Our BOD assessment is done every two years.)</w:t>
      </w:r>
    </w:p>
    <w:sectPr w:rsidR="00EB34CD" w:rsidRPr="007946CD" w:rsidSect="00DA2E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D8CD" w14:textId="77777777" w:rsidR="0098256B" w:rsidRDefault="0098256B" w:rsidP="00333B5E">
      <w:r>
        <w:separator/>
      </w:r>
    </w:p>
  </w:endnote>
  <w:endnote w:type="continuationSeparator" w:id="0">
    <w:p w14:paraId="05E9FFA1" w14:textId="77777777" w:rsidR="0098256B" w:rsidRDefault="0098256B" w:rsidP="0033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6815" w14:textId="77777777" w:rsidR="0098256B" w:rsidRDefault="0098256B" w:rsidP="00333B5E">
      <w:r>
        <w:separator/>
      </w:r>
    </w:p>
  </w:footnote>
  <w:footnote w:type="continuationSeparator" w:id="0">
    <w:p w14:paraId="1AC8F1E0" w14:textId="77777777" w:rsidR="0098256B" w:rsidRDefault="0098256B" w:rsidP="00333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706E"/>
    <w:multiLevelType w:val="hybridMultilevel"/>
    <w:tmpl w:val="D266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86758"/>
    <w:multiLevelType w:val="multilevel"/>
    <w:tmpl w:val="F1B41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24A3E"/>
    <w:multiLevelType w:val="hybridMultilevel"/>
    <w:tmpl w:val="FAEE3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13176"/>
    <w:multiLevelType w:val="hybridMultilevel"/>
    <w:tmpl w:val="7E667F9A"/>
    <w:lvl w:ilvl="0" w:tplc="B6A4372E">
      <w:start w:val="1"/>
      <w:numFmt w:val="decimal"/>
      <w:lvlText w:val="%1."/>
      <w:lvlJc w:val="left"/>
      <w:pPr>
        <w:tabs>
          <w:tab w:val="num" w:pos="720"/>
        </w:tabs>
        <w:ind w:left="720" w:hanging="360"/>
      </w:pPr>
    </w:lvl>
    <w:lvl w:ilvl="1" w:tplc="54FEEDE8" w:tentative="1">
      <w:start w:val="1"/>
      <w:numFmt w:val="decimal"/>
      <w:lvlText w:val="%2."/>
      <w:lvlJc w:val="left"/>
      <w:pPr>
        <w:tabs>
          <w:tab w:val="num" w:pos="1440"/>
        </w:tabs>
        <w:ind w:left="1440" w:hanging="360"/>
      </w:pPr>
    </w:lvl>
    <w:lvl w:ilvl="2" w:tplc="783646FC" w:tentative="1">
      <w:start w:val="1"/>
      <w:numFmt w:val="decimal"/>
      <w:lvlText w:val="%3."/>
      <w:lvlJc w:val="left"/>
      <w:pPr>
        <w:tabs>
          <w:tab w:val="num" w:pos="2160"/>
        </w:tabs>
        <w:ind w:left="2160" w:hanging="360"/>
      </w:pPr>
    </w:lvl>
    <w:lvl w:ilvl="3" w:tplc="BC5A76E8" w:tentative="1">
      <w:start w:val="1"/>
      <w:numFmt w:val="decimal"/>
      <w:lvlText w:val="%4."/>
      <w:lvlJc w:val="left"/>
      <w:pPr>
        <w:tabs>
          <w:tab w:val="num" w:pos="2880"/>
        </w:tabs>
        <w:ind w:left="2880" w:hanging="360"/>
      </w:pPr>
    </w:lvl>
    <w:lvl w:ilvl="4" w:tplc="155856D0" w:tentative="1">
      <w:start w:val="1"/>
      <w:numFmt w:val="decimal"/>
      <w:lvlText w:val="%5."/>
      <w:lvlJc w:val="left"/>
      <w:pPr>
        <w:tabs>
          <w:tab w:val="num" w:pos="3600"/>
        </w:tabs>
        <w:ind w:left="3600" w:hanging="360"/>
      </w:pPr>
    </w:lvl>
    <w:lvl w:ilvl="5" w:tplc="D9645A48" w:tentative="1">
      <w:start w:val="1"/>
      <w:numFmt w:val="decimal"/>
      <w:lvlText w:val="%6."/>
      <w:lvlJc w:val="left"/>
      <w:pPr>
        <w:tabs>
          <w:tab w:val="num" w:pos="4320"/>
        </w:tabs>
        <w:ind w:left="4320" w:hanging="360"/>
      </w:pPr>
    </w:lvl>
    <w:lvl w:ilvl="6" w:tplc="FE8E3430" w:tentative="1">
      <w:start w:val="1"/>
      <w:numFmt w:val="decimal"/>
      <w:lvlText w:val="%7."/>
      <w:lvlJc w:val="left"/>
      <w:pPr>
        <w:tabs>
          <w:tab w:val="num" w:pos="5040"/>
        </w:tabs>
        <w:ind w:left="5040" w:hanging="360"/>
      </w:pPr>
    </w:lvl>
    <w:lvl w:ilvl="7" w:tplc="5FA0E92E" w:tentative="1">
      <w:start w:val="1"/>
      <w:numFmt w:val="decimal"/>
      <w:lvlText w:val="%8."/>
      <w:lvlJc w:val="left"/>
      <w:pPr>
        <w:tabs>
          <w:tab w:val="num" w:pos="5760"/>
        </w:tabs>
        <w:ind w:left="5760" w:hanging="360"/>
      </w:pPr>
    </w:lvl>
    <w:lvl w:ilvl="8" w:tplc="4EE41A52" w:tentative="1">
      <w:start w:val="1"/>
      <w:numFmt w:val="decimal"/>
      <w:lvlText w:val="%9."/>
      <w:lvlJc w:val="left"/>
      <w:pPr>
        <w:tabs>
          <w:tab w:val="num" w:pos="6480"/>
        </w:tabs>
        <w:ind w:left="6480" w:hanging="360"/>
      </w:pPr>
    </w:lvl>
  </w:abstractNum>
  <w:abstractNum w:abstractNumId="4" w15:restartNumberingAfterBreak="0">
    <w:nsid w:val="21DA57BD"/>
    <w:multiLevelType w:val="hybridMultilevel"/>
    <w:tmpl w:val="686C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229B"/>
    <w:multiLevelType w:val="hybridMultilevel"/>
    <w:tmpl w:val="3AEC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91290"/>
    <w:multiLevelType w:val="multilevel"/>
    <w:tmpl w:val="91E0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C54B0"/>
    <w:multiLevelType w:val="hybridMultilevel"/>
    <w:tmpl w:val="3EE2BEDE"/>
    <w:lvl w:ilvl="0" w:tplc="A5A08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D484F"/>
    <w:multiLevelType w:val="hybridMultilevel"/>
    <w:tmpl w:val="90E4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E559D"/>
    <w:multiLevelType w:val="hybridMultilevel"/>
    <w:tmpl w:val="781E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261FE"/>
    <w:multiLevelType w:val="hybridMultilevel"/>
    <w:tmpl w:val="4D4E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528E8"/>
    <w:multiLevelType w:val="hybridMultilevel"/>
    <w:tmpl w:val="EE165178"/>
    <w:lvl w:ilvl="0" w:tplc="51268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B508C"/>
    <w:multiLevelType w:val="multilevel"/>
    <w:tmpl w:val="950C9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9"/>
  </w:num>
  <w:num w:numId="4">
    <w:abstractNumId w:val="4"/>
  </w:num>
  <w:num w:numId="5">
    <w:abstractNumId w:val="12"/>
  </w:num>
  <w:num w:numId="6">
    <w:abstractNumId w:val="6"/>
  </w:num>
  <w:num w:numId="7">
    <w:abstractNumId w:val="1"/>
  </w:num>
  <w:num w:numId="8">
    <w:abstractNumId w:val="5"/>
  </w:num>
  <w:num w:numId="9">
    <w:abstractNumId w:val="7"/>
  </w:num>
  <w:num w:numId="10">
    <w:abstractNumId w:val="11"/>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656"/>
    <w:rsid w:val="0001271C"/>
    <w:rsid w:val="00021004"/>
    <w:rsid w:val="0004131C"/>
    <w:rsid w:val="00054F6E"/>
    <w:rsid w:val="000A0656"/>
    <w:rsid w:val="000D5AFB"/>
    <w:rsid w:val="000F29BD"/>
    <w:rsid w:val="00100C49"/>
    <w:rsid w:val="001153F2"/>
    <w:rsid w:val="001A4C79"/>
    <w:rsid w:val="001C697F"/>
    <w:rsid w:val="001D15BE"/>
    <w:rsid w:val="00204AA3"/>
    <w:rsid w:val="00223803"/>
    <w:rsid w:val="00227784"/>
    <w:rsid w:val="00244961"/>
    <w:rsid w:val="00251143"/>
    <w:rsid w:val="00296802"/>
    <w:rsid w:val="00306465"/>
    <w:rsid w:val="003137B6"/>
    <w:rsid w:val="00333B5E"/>
    <w:rsid w:val="00352C26"/>
    <w:rsid w:val="0037626B"/>
    <w:rsid w:val="00376815"/>
    <w:rsid w:val="00383B2D"/>
    <w:rsid w:val="003A3ADA"/>
    <w:rsid w:val="003A7730"/>
    <w:rsid w:val="003D393E"/>
    <w:rsid w:val="003D71A8"/>
    <w:rsid w:val="00412362"/>
    <w:rsid w:val="00420F19"/>
    <w:rsid w:val="00425A23"/>
    <w:rsid w:val="0046458A"/>
    <w:rsid w:val="004914DE"/>
    <w:rsid w:val="00497781"/>
    <w:rsid w:val="004B1689"/>
    <w:rsid w:val="004E1462"/>
    <w:rsid w:val="004E7161"/>
    <w:rsid w:val="005367EE"/>
    <w:rsid w:val="0056675E"/>
    <w:rsid w:val="005C1D63"/>
    <w:rsid w:val="005C56FE"/>
    <w:rsid w:val="005E7E93"/>
    <w:rsid w:val="005F2D2C"/>
    <w:rsid w:val="00610939"/>
    <w:rsid w:val="00613820"/>
    <w:rsid w:val="00634D4C"/>
    <w:rsid w:val="006352D1"/>
    <w:rsid w:val="006C6424"/>
    <w:rsid w:val="00722CFF"/>
    <w:rsid w:val="0073324D"/>
    <w:rsid w:val="00781872"/>
    <w:rsid w:val="007912EC"/>
    <w:rsid w:val="007946CD"/>
    <w:rsid w:val="007E4B41"/>
    <w:rsid w:val="00805769"/>
    <w:rsid w:val="008120F8"/>
    <w:rsid w:val="00861C09"/>
    <w:rsid w:val="008818CE"/>
    <w:rsid w:val="00883417"/>
    <w:rsid w:val="008950E5"/>
    <w:rsid w:val="008D1637"/>
    <w:rsid w:val="008D55AE"/>
    <w:rsid w:val="008E0ADF"/>
    <w:rsid w:val="008F414E"/>
    <w:rsid w:val="00961F47"/>
    <w:rsid w:val="0098256B"/>
    <w:rsid w:val="009901AB"/>
    <w:rsid w:val="009D272E"/>
    <w:rsid w:val="009F2952"/>
    <w:rsid w:val="00A418B3"/>
    <w:rsid w:val="00A63DCE"/>
    <w:rsid w:val="00AB622D"/>
    <w:rsid w:val="00B76CB7"/>
    <w:rsid w:val="00B82123"/>
    <w:rsid w:val="00B905D3"/>
    <w:rsid w:val="00B96344"/>
    <w:rsid w:val="00BA589B"/>
    <w:rsid w:val="00BC4B94"/>
    <w:rsid w:val="00C72334"/>
    <w:rsid w:val="00C7723D"/>
    <w:rsid w:val="00C83980"/>
    <w:rsid w:val="00C96453"/>
    <w:rsid w:val="00CD06BF"/>
    <w:rsid w:val="00D03279"/>
    <w:rsid w:val="00D14933"/>
    <w:rsid w:val="00D45F41"/>
    <w:rsid w:val="00D526A3"/>
    <w:rsid w:val="00D6071B"/>
    <w:rsid w:val="00D812FA"/>
    <w:rsid w:val="00DA15E3"/>
    <w:rsid w:val="00DA2EB5"/>
    <w:rsid w:val="00DB67A2"/>
    <w:rsid w:val="00DC36AD"/>
    <w:rsid w:val="00DE1F6E"/>
    <w:rsid w:val="00E00FEB"/>
    <w:rsid w:val="00E20B23"/>
    <w:rsid w:val="00E31941"/>
    <w:rsid w:val="00E32A81"/>
    <w:rsid w:val="00E80322"/>
    <w:rsid w:val="00E811CD"/>
    <w:rsid w:val="00EB01D5"/>
    <w:rsid w:val="00EB34CD"/>
    <w:rsid w:val="00EF1C0B"/>
    <w:rsid w:val="00F47C37"/>
    <w:rsid w:val="00F52FC4"/>
    <w:rsid w:val="00FA3D01"/>
    <w:rsid w:val="00FC756F"/>
    <w:rsid w:val="00FE08DF"/>
    <w:rsid w:val="00FF2320"/>
    <w:rsid w:val="00FF2628"/>
    <w:rsid w:val="00FF560A"/>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86C9"/>
  <w15:chartTrackingRefBased/>
  <w15:docId w15:val="{ADC32120-BA51-406F-B74E-FF96E87B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D2C"/>
    <w:pPr>
      <w:spacing w:after="0" w:line="240" w:lineRule="auto"/>
    </w:pPr>
  </w:style>
  <w:style w:type="table" w:styleId="TableGrid">
    <w:name w:val="Table Grid"/>
    <w:basedOn w:val="TableNormal"/>
    <w:uiPriority w:val="59"/>
    <w:rsid w:val="00D5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AB622D"/>
    <w:rPr>
      <w:color w:val="0000FF"/>
      <w:u w:val="single"/>
    </w:rPr>
  </w:style>
  <w:style w:type="paragraph" w:styleId="NormalWeb">
    <w:name w:val="Normal (Web)"/>
    <w:basedOn w:val="Normal"/>
    <w:uiPriority w:val="99"/>
    <w:semiHidden/>
    <w:unhideWhenUsed/>
    <w:rsid w:val="00AB622D"/>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C4B94"/>
    <w:rPr>
      <w:color w:val="954F72" w:themeColor="followedHyperlink"/>
      <w:u w:val="single"/>
    </w:rPr>
  </w:style>
  <w:style w:type="paragraph" w:styleId="ListParagraph">
    <w:name w:val="List Paragraph"/>
    <w:basedOn w:val="Normal"/>
    <w:uiPriority w:val="34"/>
    <w:qFormat/>
    <w:rsid w:val="00333B5E"/>
    <w:pPr>
      <w:spacing w:after="160" w:line="259" w:lineRule="auto"/>
      <w:ind w:left="720"/>
      <w:contextualSpacing/>
    </w:pPr>
    <w:rPr>
      <w:rFonts w:ascii="Calibri" w:eastAsiaTheme="minorHAnsi" w:hAnsi="Calibri" w:cstheme="minorBidi"/>
      <w:sz w:val="22"/>
      <w:szCs w:val="22"/>
    </w:rPr>
  </w:style>
  <w:style w:type="paragraph" w:styleId="FootnoteText">
    <w:name w:val="footnote text"/>
    <w:basedOn w:val="Normal"/>
    <w:link w:val="FootnoteTextChar"/>
    <w:uiPriority w:val="99"/>
    <w:semiHidden/>
    <w:unhideWhenUsed/>
    <w:rsid w:val="00333B5E"/>
    <w:rPr>
      <w:rFonts w:ascii="Calibri" w:eastAsiaTheme="minorHAnsi" w:hAnsi="Calibri" w:cstheme="minorBidi"/>
      <w:sz w:val="20"/>
      <w:szCs w:val="20"/>
    </w:rPr>
  </w:style>
  <w:style w:type="character" w:customStyle="1" w:styleId="FootnoteTextChar">
    <w:name w:val="Footnote Text Char"/>
    <w:basedOn w:val="DefaultParagraphFont"/>
    <w:link w:val="FootnoteText"/>
    <w:uiPriority w:val="99"/>
    <w:semiHidden/>
    <w:rsid w:val="00333B5E"/>
    <w:rPr>
      <w:rFonts w:ascii="Calibri" w:hAnsi="Calibri"/>
      <w:sz w:val="20"/>
      <w:szCs w:val="20"/>
    </w:rPr>
  </w:style>
  <w:style w:type="character" w:styleId="FootnoteReference">
    <w:name w:val="footnote reference"/>
    <w:basedOn w:val="DefaultParagraphFont"/>
    <w:uiPriority w:val="99"/>
    <w:semiHidden/>
    <w:unhideWhenUsed/>
    <w:rsid w:val="00333B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22344">
      <w:bodyDiv w:val="1"/>
      <w:marLeft w:val="0"/>
      <w:marRight w:val="0"/>
      <w:marTop w:val="0"/>
      <w:marBottom w:val="0"/>
      <w:divBdr>
        <w:top w:val="none" w:sz="0" w:space="0" w:color="auto"/>
        <w:left w:val="none" w:sz="0" w:space="0" w:color="auto"/>
        <w:bottom w:val="none" w:sz="0" w:space="0" w:color="auto"/>
        <w:right w:val="none" w:sz="0" w:space="0" w:color="auto"/>
      </w:divBdr>
      <w:divsChild>
        <w:div w:id="659966324">
          <w:marLeft w:val="0"/>
          <w:marRight w:val="0"/>
          <w:marTop w:val="0"/>
          <w:marBottom w:val="0"/>
          <w:divBdr>
            <w:top w:val="none" w:sz="0" w:space="0" w:color="auto"/>
            <w:left w:val="none" w:sz="0" w:space="0" w:color="auto"/>
            <w:bottom w:val="none" w:sz="0" w:space="0" w:color="auto"/>
            <w:right w:val="none" w:sz="0" w:space="0" w:color="auto"/>
          </w:divBdr>
        </w:div>
      </w:divsChild>
    </w:div>
    <w:div w:id="721100316">
      <w:bodyDiv w:val="1"/>
      <w:marLeft w:val="0"/>
      <w:marRight w:val="0"/>
      <w:marTop w:val="0"/>
      <w:marBottom w:val="0"/>
      <w:divBdr>
        <w:top w:val="none" w:sz="0" w:space="0" w:color="auto"/>
        <w:left w:val="none" w:sz="0" w:space="0" w:color="auto"/>
        <w:bottom w:val="none" w:sz="0" w:space="0" w:color="auto"/>
        <w:right w:val="none" w:sz="0" w:space="0" w:color="auto"/>
      </w:divBdr>
      <w:divsChild>
        <w:div w:id="1670673284">
          <w:marLeft w:val="547"/>
          <w:marRight w:val="0"/>
          <w:marTop w:val="86"/>
          <w:marBottom w:val="0"/>
          <w:divBdr>
            <w:top w:val="none" w:sz="0" w:space="0" w:color="auto"/>
            <w:left w:val="none" w:sz="0" w:space="0" w:color="auto"/>
            <w:bottom w:val="none" w:sz="0" w:space="0" w:color="auto"/>
            <w:right w:val="none" w:sz="0" w:space="0" w:color="auto"/>
          </w:divBdr>
        </w:div>
        <w:div w:id="2045330839">
          <w:marLeft w:val="547"/>
          <w:marRight w:val="0"/>
          <w:marTop w:val="86"/>
          <w:marBottom w:val="0"/>
          <w:divBdr>
            <w:top w:val="none" w:sz="0" w:space="0" w:color="auto"/>
            <w:left w:val="none" w:sz="0" w:space="0" w:color="auto"/>
            <w:bottom w:val="none" w:sz="0" w:space="0" w:color="auto"/>
            <w:right w:val="none" w:sz="0" w:space="0" w:color="auto"/>
          </w:divBdr>
        </w:div>
        <w:div w:id="167717085">
          <w:marLeft w:val="547"/>
          <w:marRight w:val="0"/>
          <w:marTop w:val="86"/>
          <w:marBottom w:val="0"/>
          <w:divBdr>
            <w:top w:val="none" w:sz="0" w:space="0" w:color="auto"/>
            <w:left w:val="none" w:sz="0" w:space="0" w:color="auto"/>
            <w:bottom w:val="none" w:sz="0" w:space="0" w:color="auto"/>
            <w:right w:val="none" w:sz="0" w:space="0" w:color="auto"/>
          </w:divBdr>
        </w:div>
        <w:div w:id="1108541962">
          <w:marLeft w:val="547"/>
          <w:marRight w:val="0"/>
          <w:marTop w:val="86"/>
          <w:marBottom w:val="0"/>
          <w:divBdr>
            <w:top w:val="none" w:sz="0" w:space="0" w:color="auto"/>
            <w:left w:val="none" w:sz="0" w:space="0" w:color="auto"/>
            <w:bottom w:val="none" w:sz="0" w:space="0" w:color="auto"/>
            <w:right w:val="none" w:sz="0" w:space="0" w:color="auto"/>
          </w:divBdr>
        </w:div>
        <w:div w:id="1036393135">
          <w:marLeft w:val="547"/>
          <w:marRight w:val="0"/>
          <w:marTop w:val="86"/>
          <w:marBottom w:val="0"/>
          <w:divBdr>
            <w:top w:val="none" w:sz="0" w:space="0" w:color="auto"/>
            <w:left w:val="none" w:sz="0" w:space="0" w:color="auto"/>
            <w:bottom w:val="none" w:sz="0" w:space="0" w:color="auto"/>
            <w:right w:val="none" w:sz="0" w:space="0" w:color="auto"/>
          </w:divBdr>
        </w:div>
        <w:div w:id="810824176">
          <w:marLeft w:val="547"/>
          <w:marRight w:val="0"/>
          <w:marTop w:val="86"/>
          <w:marBottom w:val="0"/>
          <w:divBdr>
            <w:top w:val="none" w:sz="0" w:space="0" w:color="auto"/>
            <w:left w:val="none" w:sz="0" w:space="0" w:color="auto"/>
            <w:bottom w:val="none" w:sz="0" w:space="0" w:color="auto"/>
            <w:right w:val="none" w:sz="0" w:space="0" w:color="auto"/>
          </w:divBdr>
        </w:div>
        <w:div w:id="1711879403">
          <w:marLeft w:val="547"/>
          <w:marRight w:val="0"/>
          <w:marTop w:val="86"/>
          <w:marBottom w:val="0"/>
          <w:divBdr>
            <w:top w:val="none" w:sz="0" w:space="0" w:color="auto"/>
            <w:left w:val="none" w:sz="0" w:space="0" w:color="auto"/>
            <w:bottom w:val="none" w:sz="0" w:space="0" w:color="auto"/>
            <w:right w:val="none" w:sz="0" w:space="0" w:color="auto"/>
          </w:divBdr>
        </w:div>
      </w:divsChild>
    </w:div>
    <w:div w:id="21360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Rochester</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Thompson</dc:creator>
  <cp:keywords/>
  <dc:description/>
  <cp:lastModifiedBy>Natasha Thompson</cp:lastModifiedBy>
  <cp:revision>3</cp:revision>
  <dcterms:created xsi:type="dcterms:W3CDTF">2022-02-15T20:21:00Z</dcterms:created>
  <dcterms:modified xsi:type="dcterms:W3CDTF">2022-02-15T22:01:00Z</dcterms:modified>
</cp:coreProperties>
</file>